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9A1A" w14:textId="538FBEB1" w:rsidR="00B56AE4" w:rsidRPr="00B56AE4" w:rsidRDefault="00141389" w:rsidP="00141389">
      <w:pPr>
        <w:jc w:val="center"/>
        <w:rPr>
          <w:rFonts w:eastAsia="Calibri"/>
        </w:rPr>
      </w:pPr>
      <w:r w:rsidRPr="00141389">
        <w:rPr>
          <w:rFonts w:eastAsia="Calibri"/>
          <w:b/>
          <w:bCs/>
          <w:color w:val="000000"/>
        </w:rPr>
        <w:t>Become a Super</w:t>
      </w:r>
      <w:r>
        <w:rPr>
          <w:rFonts w:eastAsia="Calibri"/>
          <w:b/>
          <w:bCs/>
          <w:color w:val="000000"/>
        </w:rPr>
        <w:t>A</w:t>
      </w:r>
      <w:r w:rsidRPr="00141389">
        <w:rPr>
          <w:rFonts w:eastAsia="Calibri"/>
          <w:b/>
          <w:bCs/>
          <w:color w:val="000000"/>
        </w:rPr>
        <w:t>ger for a Higher ROL</w:t>
      </w:r>
    </w:p>
    <w:p w14:paraId="0E661A79" w14:textId="4A84FC98" w:rsidR="003916E5" w:rsidRDefault="00601464" w:rsidP="00B56AE4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2093C448" w14:textId="16F720D5" w:rsidR="00141389" w:rsidRPr="00141389" w:rsidRDefault="00141389" w:rsidP="00141389">
      <w:pPr>
        <w:rPr>
          <w:rFonts w:eastAsia="Calibri"/>
        </w:rPr>
      </w:pPr>
      <w:hyperlink r:id="rId6" w:history="1">
        <w:r w:rsidRPr="00141389">
          <w:rPr>
            <w:rStyle w:val="Hyperlink"/>
            <w:rFonts w:eastAsia="Calibri"/>
          </w:rPr>
          <w:t>Northwestern University's SuperAging Study</w:t>
        </w:r>
      </w:hyperlink>
      <w:r w:rsidRPr="00141389">
        <w:rPr>
          <w:rFonts w:eastAsia="Calibri"/>
        </w:rPr>
        <w:t xml:space="preserve"> defines a "SuperAger" as a person in their 80s whose cognitive function is comparable to an average </w:t>
      </w:r>
      <w:r w:rsidR="00C47C9D" w:rsidRPr="00141389">
        <w:rPr>
          <w:rFonts w:eastAsia="Calibri"/>
        </w:rPr>
        <w:t>middle-aged</w:t>
      </w:r>
      <w:r w:rsidRPr="00141389">
        <w:rPr>
          <w:rFonts w:eastAsia="Calibri"/>
        </w:rPr>
        <w:t xml:space="preserve"> person. These are the "sharp" seniors who keep learning, keep growing, and keep adapting to whatever life throws at them. SuperAgers also lose brain matter at a slower rate than average seniors </w:t>
      </w:r>
      <w:hyperlink r:id="rId7" w:history="1">
        <w:r w:rsidRPr="00141389">
          <w:rPr>
            <w:rStyle w:val="Hyperlink"/>
            <w:rFonts w:eastAsia="Calibri"/>
          </w:rPr>
          <w:t xml:space="preserve">and may have some immunity to </w:t>
        </w:r>
        <w:r w:rsidR="00C47C9D" w:rsidRPr="00141389">
          <w:rPr>
            <w:rStyle w:val="Hyperlink"/>
            <w:rFonts w:eastAsia="Calibri"/>
          </w:rPr>
          <w:t>Alzheimer’s</w:t>
        </w:r>
        <w:r w:rsidRPr="00141389">
          <w:rPr>
            <w:rStyle w:val="Hyperlink"/>
            <w:rFonts w:eastAsia="Calibri"/>
          </w:rPr>
          <w:t xml:space="preserve"> and dementia</w:t>
        </w:r>
      </w:hyperlink>
      <w:r w:rsidRPr="00141389">
        <w:rPr>
          <w:rFonts w:eastAsia="Calibri"/>
        </w:rPr>
        <w:t xml:space="preserve">. </w:t>
      </w:r>
    </w:p>
    <w:p w14:paraId="5FDDBE12" w14:textId="77777777" w:rsidR="00141389" w:rsidRPr="00141389" w:rsidRDefault="00141389" w:rsidP="00141389">
      <w:pPr>
        <w:rPr>
          <w:rFonts w:eastAsia="Calibri"/>
        </w:rPr>
      </w:pPr>
    </w:p>
    <w:p w14:paraId="58D1900E" w14:textId="0C671861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t xml:space="preserve">While genetics may play a part in SuperAgers' mental durability, researchers have also found that these three habits can help seniors age better and improve </w:t>
      </w:r>
      <w:r w:rsidR="00AB7379">
        <w:rPr>
          <w:rFonts w:eastAsia="Calibri"/>
        </w:rPr>
        <w:t>their lives</w:t>
      </w:r>
      <w:r w:rsidRPr="00141389">
        <w:rPr>
          <w:rFonts w:eastAsia="Calibri"/>
        </w:rPr>
        <w:t xml:space="preserve">. </w:t>
      </w:r>
    </w:p>
    <w:p w14:paraId="7A9048EA" w14:textId="77777777" w:rsidR="00141389" w:rsidRPr="00141389" w:rsidRDefault="00141389" w:rsidP="00141389">
      <w:pPr>
        <w:rPr>
          <w:rFonts w:eastAsia="Calibri"/>
        </w:rPr>
      </w:pPr>
    </w:p>
    <w:p w14:paraId="0C4A456D" w14:textId="77777777" w:rsidR="00141389" w:rsidRPr="00141389" w:rsidRDefault="00141389" w:rsidP="00141389">
      <w:pPr>
        <w:rPr>
          <w:rFonts w:eastAsia="Calibri"/>
          <w:b/>
          <w:bCs/>
        </w:rPr>
      </w:pPr>
      <w:r w:rsidRPr="00141389">
        <w:rPr>
          <w:rFonts w:eastAsia="Calibri"/>
          <w:b/>
          <w:bCs/>
        </w:rPr>
        <w:t>1</w:t>
      </w:r>
      <w:proofErr w:type="gramStart"/>
      <w:r w:rsidRPr="00141389">
        <w:rPr>
          <w:rFonts w:eastAsia="Calibri"/>
          <w:b/>
          <w:bCs/>
        </w:rPr>
        <w:t>.  Staying</w:t>
      </w:r>
      <w:proofErr w:type="gramEnd"/>
      <w:r w:rsidRPr="00141389">
        <w:rPr>
          <w:rFonts w:eastAsia="Calibri"/>
          <w:b/>
          <w:bCs/>
        </w:rPr>
        <w:t xml:space="preserve"> active.</w:t>
      </w:r>
    </w:p>
    <w:p w14:paraId="1856295D" w14:textId="77777777" w:rsidR="00141389" w:rsidRPr="00141389" w:rsidRDefault="00141389" w:rsidP="00141389">
      <w:pPr>
        <w:rPr>
          <w:rFonts w:eastAsia="Calibri"/>
        </w:rPr>
      </w:pPr>
    </w:p>
    <w:p w14:paraId="3C7D8231" w14:textId="7058DAA3" w:rsidR="00141389" w:rsidRPr="00141389" w:rsidRDefault="00141389" w:rsidP="00141389">
      <w:pPr>
        <w:rPr>
          <w:rFonts w:eastAsia="Calibri"/>
        </w:rPr>
      </w:pPr>
      <w:hyperlink r:id="rId8" w:history="1">
        <w:r w:rsidRPr="00141389">
          <w:rPr>
            <w:rStyle w:val="Hyperlink"/>
            <w:rFonts w:eastAsia="Calibri"/>
          </w:rPr>
          <w:t>A three-year study by the University of Edinburgh</w:t>
        </w:r>
      </w:hyperlink>
      <w:r w:rsidRPr="00141389">
        <w:rPr>
          <w:rFonts w:eastAsia="Calibri"/>
        </w:rPr>
        <w:t xml:space="preserve"> found that folks over 70 who exercised regularly exhibited less brain shrinkage than seniors who did not. The study also found that active seniors had better cognitive function and a reduced risk of dementia. </w:t>
      </w:r>
    </w:p>
    <w:p w14:paraId="35F86E7D" w14:textId="77777777" w:rsidR="00141389" w:rsidRPr="00141389" w:rsidRDefault="00141389" w:rsidP="00141389">
      <w:pPr>
        <w:rPr>
          <w:rFonts w:eastAsia="Calibri"/>
        </w:rPr>
      </w:pPr>
    </w:p>
    <w:p w14:paraId="7F28DC7B" w14:textId="3EF57831" w:rsidR="00141389" w:rsidRPr="00141389" w:rsidRDefault="00141389" w:rsidP="00141389">
      <w:pPr>
        <w:rPr>
          <w:rFonts w:eastAsia="Calibri"/>
        </w:rPr>
      </w:pPr>
      <w:hyperlink r:id="rId9" w:history="1">
        <w:r w:rsidRPr="00C47C9D">
          <w:rPr>
            <w:rStyle w:val="Hyperlink"/>
            <w:rFonts w:eastAsia="Calibri"/>
          </w:rPr>
          <w:t>The U.S. Government's National Institute on Aging</w:t>
        </w:r>
      </w:hyperlink>
      <w:r w:rsidRPr="00141389">
        <w:rPr>
          <w:rFonts w:eastAsia="Calibri"/>
        </w:rPr>
        <w:t xml:space="preserve"> says that regular exercise can lead to lower levels of stress, better sleep cycles, and better mental health. And the more you're moving, the greater the </w:t>
      </w:r>
      <w:r w:rsidR="00C47C9D" w:rsidRPr="00141389">
        <w:rPr>
          <w:rFonts w:eastAsia="Calibri"/>
        </w:rPr>
        <w:t>benefits</w:t>
      </w:r>
      <w:r w:rsidRPr="00141389">
        <w:rPr>
          <w:rFonts w:eastAsia="Calibri"/>
        </w:rPr>
        <w:t xml:space="preserve"> to both your physical and mental health. In fact, </w:t>
      </w:r>
      <w:hyperlink r:id="rId10" w:history="1">
        <w:r w:rsidRPr="00141389">
          <w:rPr>
            <w:rStyle w:val="Hyperlink"/>
            <w:rFonts w:eastAsia="Calibri"/>
          </w:rPr>
          <w:t>the risk of developing Alzheimer's triples</w:t>
        </w:r>
      </w:hyperlink>
      <w:r w:rsidRPr="00141389">
        <w:rPr>
          <w:rFonts w:eastAsia="Calibri"/>
        </w:rPr>
        <w:t xml:space="preserve"> for seniors who have a high body mass index. </w:t>
      </w:r>
    </w:p>
    <w:p w14:paraId="5D9F5D82" w14:textId="77777777" w:rsidR="00141389" w:rsidRPr="00141389" w:rsidRDefault="00141389" w:rsidP="00141389">
      <w:pPr>
        <w:rPr>
          <w:rFonts w:eastAsia="Calibri"/>
        </w:rPr>
      </w:pPr>
    </w:p>
    <w:p w14:paraId="45D323C3" w14:textId="3B81E435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t>Improving your activity level doesn't have to be as daunting as it sounds. The National Institute on Aging recommends that adults do at least 150 minutes</w:t>
      </w:r>
      <w:r w:rsidR="00C47C9D">
        <w:rPr>
          <w:rFonts w:eastAsia="Calibri"/>
        </w:rPr>
        <w:t xml:space="preserve"> </w:t>
      </w:r>
      <w:r w:rsidRPr="00141389">
        <w:rPr>
          <w:rFonts w:eastAsia="Calibri"/>
        </w:rPr>
        <w:t xml:space="preserve">of moderate-intensity aerobic exercise every week. If you're not a natural gym rat, you can rack up those </w:t>
      </w:r>
      <w:r w:rsidR="00C47C9D">
        <w:rPr>
          <w:rFonts w:eastAsia="Calibri"/>
        </w:rPr>
        <w:t>2.5 hours by</w:t>
      </w:r>
      <w:r w:rsidRPr="00141389">
        <w:rPr>
          <w:rFonts w:eastAsia="Calibri"/>
        </w:rPr>
        <w:t xml:space="preserve"> taking long walks, riding a bike, playing golf without the cart, swimming, or even practicing online yoga from the comfort of your living room. </w:t>
      </w:r>
    </w:p>
    <w:p w14:paraId="500FBA05" w14:textId="77777777" w:rsidR="00141389" w:rsidRPr="00141389" w:rsidRDefault="00141389" w:rsidP="00141389">
      <w:pPr>
        <w:rPr>
          <w:rFonts w:eastAsia="Calibri"/>
        </w:rPr>
      </w:pPr>
    </w:p>
    <w:p w14:paraId="066024EA" w14:textId="77777777" w:rsidR="00141389" w:rsidRPr="00141389" w:rsidRDefault="00141389" w:rsidP="00141389">
      <w:pPr>
        <w:rPr>
          <w:rFonts w:eastAsia="Calibri"/>
          <w:b/>
          <w:bCs/>
        </w:rPr>
      </w:pPr>
      <w:r w:rsidRPr="00141389">
        <w:rPr>
          <w:rFonts w:eastAsia="Calibri"/>
          <w:b/>
          <w:bCs/>
        </w:rPr>
        <w:t xml:space="preserve">2. Finding new challenges. </w:t>
      </w:r>
    </w:p>
    <w:p w14:paraId="3174E958" w14:textId="77777777" w:rsidR="00141389" w:rsidRPr="00141389" w:rsidRDefault="00141389" w:rsidP="00141389">
      <w:pPr>
        <w:rPr>
          <w:rFonts w:eastAsia="Calibri"/>
        </w:rPr>
      </w:pPr>
    </w:p>
    <w:p w14:paraId="6D28A19E" w14:textId="6A10CB96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t xml:space="preserve">A common trait among seniors who struggle with retirement is boredom. Without work and raising a family to provide structure and purpose, many seniors feel lost. Instead of building a new weekly routine around things they enjoy doing and the people they love, they putter around the house struggling to fill the time. </w:t>
      </w:r>
    </w:p>
    <w:p w14:paraId="4ACD23A2" w14:textId="77777777" w:rsidR="00141389" w:rsidRPr="00141389" w:rsidRDefault="00141389" w:rsidP="00141389">
      <w:pPr>
        <w:rPr>
          <w:rFonts w:eastAsia="Calibri"/>
        </w:rPr>
      </w:pPr>
    </w:p>
    <w:p w14:paraId="3ADCD3CC" w14:textId="1D154053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t xml:space="preserve">SuperAgers don't get bored. They constantly seek out new ways to challenge themselves and expand their </w:t>
      </w:r>
      <w:proofErr w:type="gramStart"/>
      <w:r w:rsidRPr="00141389">
        <w:rPr>
          <w:rFonts w:eastAsia="Calibri"/>
        </w:rPr>
        <w:t>worldviews</w:t>
      </w:r>
      <w:proofErr w:type="gramEnd"/>
      <w:r w:rsidRPr="00141389">
        <w:rPr>
          <w:rFonts w:eastAsia="Calibri"/>
        </w:rPr>
        <w:t xml:space="preserve">. They enroll in classes at their community college and attend workshops at their senior centers. They work with professional coaches to lower their handicaps and </w:t>
      </w:r>
      <w:r w:rsidR="00C47C9D">
        <w:rPr>
          <w:rFonts w:eastAsia="Calibri"/>
        </w:rPr>
        <w:t>smooth out</w:t>
      </w:r>
      <w:r w:rsidRPr="00141389">
        <w:rPr>
          <w:rFonts w:eastAsia="Calibri"/>
        </w:rPr>
        <w:t xml:space="preserve"> the</w:t>
      </w:r>
      <w:r w:rsidR="00C47C9D">
        <w:rPr>
          <w:rFonts w:eastAsia="Calibri"/>
        </w:rPr>
        <w:t>ir</w:t>
      </w:r>
      <w:r w:rsidRPr="00141389">
        <w:rPr>
          <w:rFonts w:eastAsia="Calibri"/>
        </w:rPr>
        <w:t xml:space="preserve"> backhands. They read, stream, listen to a variety of podcasts, and buy memberships to local museums and theater groups. They learn new languages, take up new hobbies, and teach themselves how to repair and upgrade their homes. </w:t>
      </w:r>
    </w:p>
    <w:p w14:paraId="44B5F9B3" w14:textId="77777777" w:rsidR="00141389" w:rsidRPr="00141389" w:rsidRDefault="00141389" w:rsidP="00141389">
      <w:pPr>
        <w:rPr>
          <w:rFonts w:eastAsia="Calibri"/>
        </w:rPr>
      </w:pPr>
    </w:p>
    <w:p w14:paraId="14391189" w14:textId="656F4E57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lastRenderedPageBreak/>
        <w:t xml:space="preserve">In other words, they keep learning. </w:t>
      </w:r>
      <w:hyperlink r:id="rId11" w:history="1">
        <w:r w:rsidRPr="00141389">
          <w:rPr>
            <w:rStyle w:val="Hyperlink"/>
            <w:rFonts w:eastAsia="Calibri"/>
          </w:rPr>
          <w:t>And research has found that learning creates new connections in our brains</w:t>
        </w:r>
      </w:hyperlink>
      <w:r w:rsidRPr="00141389">
        <w:rPr>
          <w:rFonts w:eastAsia="Calibri"/>
        </w:rPr>
        <w:t xml:space="preserve"> that strengthen existing pathways and improve our powers of cognition, even as we age. </w:t>
      </w:r>
    </w:p>
    <w:p w14:paraId="6C626F83" w14:textId="77777777" w:rsidR="00141389" w:rsidRPr="00141389" w:rsidRDefault="00141389" w:rsidP="00141389">
      <w:pPr>
        <w:rPr>
          <w:rFonts w:eastAsia="Calibri"/>
        </w:rPr>
      </w:pPr>
    </w:p>
    <w:p w14:paraId="175CDE04" w14:textId="77777777" w:rsidR="00141389" w:rsidRPr="00141389" w:rsidRDefault="00141389" w:rsidP="00141389">
      <w:pPr>
        <w:rPr>
          <w:rFonts w:eastAsia="Calibri"/>
          <w:b/>
          <w:bCs/>
        </w:rPr>
      </w:pPr>
      <w:r w:rsidRPr="00141389">
        <w:rPr>
          <w:rFonts w:eastAsia="Calibri"/>
          <w:b/>
          <w:bCs/>
        </w:rPr>
        <w:t xml:space="preserve">3. Maintaining an active social life. </w:t>
      </w:r>
    </w:p>
    <w:p w14:paraId="60BE08CE" w14:textId="77777777" w:rsidR="00141389" w:rsidRPr="00141389" w:rsidRDefault="00141389" w:rsidP="00141389">
      <w:pPr>
        <w:rPr>
          <w:rFonts w:eastAsia="Calibri"/>
        </w:rPr>
      </w:pPr>
    </w:p>
    <w:p w14:paraId="7564C05E" w14:textId="3D895271" w:rsidR="00141389" w:rsidRPr="00141389" w:rsidRDefault="00141389" w:rsidP="00141389">
      <w:pPr>
        <w:rPr>
          <w:rFonts w:eastAsia="Calibri"/>
        </w:rPr>
      </w:pPr>
      <w:hyperlink r:id="rId12" w:anchor=":~:text=How%20does%20social%20life%20engage,brain%20is%20hard%20at%20work" w:history="1">
        <w:r w:rsidRPr="00141389">
          <w:rPr>
            <w:rStyle w:val="Hyperlink"/>
            <w:rFonts w:eastAsia="Calibri"/>
          </w:rPr>
          <w:t>According to Harvard Medical School</w:t>
        </w:r>
      </w:hyperlink>
      <w:r w:rsidRPr="00141389">
        <w:rPr>
          <w:rFonts w:eastAsia="Calibri"/>
        </w:rPr>
        <w:t xml:space="preserve">, our social connections are very important to our brain health. Afterall, every interaction we have with someone is another potential learning experience that stimulates the brain and provides the same </w:t>
      </w:r>
      <w:r w:rsidR="00EE7F63">
        <w:rPr>
          <w:rFonts w:eastAsia="Calibri"/>
        </w:rPr>
        <w:t xml:space="preserve">learning </w:t>
      </w:r>
      <w:r w:rsidRPr="00141389">
        <w:rPr>
          <w:rFonts w:eastAsia="Calibri"/>
        </w:rPr>
        <w:t xml:space="preserve">benefits that guard against cognitive decline. Unsurprisingly, studies have found that folks who don't have strong social ties and those opportunities for interaction have a higher risk of dementia. </w:t>
      </w:r>
    </w:p>
    <w:p w14:paraId="3534C7D1" w14:textId="77777777" w:rsidR="00141389" w:rsidRPr="00141389" w:rsidRDefault="00141389" w:rsidP="00141389">
      <w:pPr>
        <w:rPr>
          <w:rFonts w:eastAsia="Calibri"/>
        </w:rPr>
      </w:pPr>
    </w:p>
    <w:p w14:paraId="7A4B5DE9" w14:textId="42CA0E52" w:rsidR="00141389" w:rsidRPr="00141389" w:rsidRDefault="00141389" w:rsidP="00141389">
      <w:pPr>
        <w:rPr>
          <w:rFonts w:eastAsia="Calibri"/>
        </w:rPr>
      </w:pPr>
      <w:r w:rsidRPr="00141389">
        <w:rPr>
          <w:rFonts w:eastAsia="Calibri"/>
        </w:rPr>
        <w:t xml:space="preserve">SuperAgers have learned to embrace the variety of ways we can connect with other people, from video chat and social media to joining social clubs and shopping at local businesses. </w:t>
      </w:r>
      <w:proofErr w:type="gramStart"/>
      <w:r w:rsidRPr="00141389">
        <w:rPr>
          <w:rFonts w:eastAsia="Calibri"/>
        </w:rPr>
        <w:t>But,</w:t>
      </w:r>
      <w:proofErr w:type="gramEnd"/>
      <w:r w:rsidRPr="00141389">
        <w:rPr>
          <w:rFonts w:eastAsia="Calibri"/>
        </w:rPr>
        <w:t xml:space="preserve"> as is true </w:t>
      </w:r>
      <w:r w:rsidR="00EE7F63" w:rsidRPr="00141389">
        <w:rPr>
          <w:rFonts w:eastAsia="Calibri"/>
        </w:rPr>
        <w:t>at</w:t>
      </w:r>
      <w:r w:rsidRPr="00141389">
        <w:rPr>
          <w:rFonts w:eastAsia="Calibri"/>
        </w:rPr>
        <w:t xml:space="preserve"> any stage in life, it's not the number of relationships you have that matter. It's the quality of your connections to the people </w:t>
      </w:r>
      <w:r w:rsidR="00EE7F63">
        <w:rPr>
          <w:rFonts w:eastAsia="Calibri"/>
        </w:rPr>
        <w:t>who</w:t>
      </w:r>
      <w:r w:rsidRPr="00141389">
        <w:rPr>
          <w:rFonts w:eastAsia="Calibri"/>
        </w:rPr>
        <w:t xml:space="preserve"> matter the most. Devoting a significant part of your retirement to nourishing those relationships and making meaningful new connections to grandchildren, neighbors, and extended family can make anyone feel young again. </w:t>
      </w:r>
    </w:p>
    <w:p w14:paraId="385E9ECB" w14:textId="77777777" w:rsidR="00141389" w:rsidRPr="00141389" w:rsidRDefault="00141389" w:rsidP="00141389">
      <w:pPr>
        <w:rPr>
          <w:rFonts w:eastAsia="Calibri"/>
        </w:rPr>
      </w:pPr>
    </w:p>
    <w:p w14:paraId="20FEA1FF" w14:textId="5FCF9332" w:rsidR="00141389" w:rsidRPr="00141389" w:rsidRDefault="00C47C9D" w:rsidP="00141389">
      <w:pPr>
        <w:rPr>
          <w:rFonts w:eastAsia="Calibri"/>
        </w:rPr>
      </w:pPr>
      <w:r>
        <w:rPr>
          <w:rFonts w:eastAsia="Calibri"/>
        </w:rPr>
        <w:t>Is enjoying a longer, more active, and more stimulating retirement one of your top financial goals? Get in touch and let’s talk about how our Life-Centered Planning Process can help.</w:t>
      </w:r>
    </w:p>
    <w:p w14:paraId="6EB95A60" w14:textId="77777777" w:rsidR="00141389" w:rsidRPr="00B56AE4" w:rsidRDefault="00141389" w:rsidP="00B56AE4">
      <w:pPr>
        <w:rPr>
          <w:rFonts w:eastAsia="Calibri"/>
        </w:rPr>
      </w:pPr>
    </w:p>
    <w:sectPr w:rsidR="00141389" w:rsidRPr="00B56AE4" w:rsidSect="00CA23EC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B867" w14:textId="77777777" w:rsidR="001E7CC2" w:rsidRDefault="001E7CC2" w:rsidP="0057093A">
      <w:r>
        <w:separator/>
      </w:r>
    </w:p>
  </w:endnote>
  <w:endnote w:type="continuationSeparator" w:id="0">
    <w:p w14:paraId="0AF48C34" w14:textId="77777777" w:rsidR="001E7CC2" w:rsidRDefault="001E7CC2" w:rsidP="0057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536C" w14:textId="3A8AE028" w:rsidR="00E85F30" w:rsidRDefault="00592565" w:rsidP="0098181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83FDC56" wp14:editId="197D85C8">
          <wp:simplePos x="0" y="0"/>
          <wp:positionH relativeFrom="column">
            <wp:posOffset>-648970</wp:posOffset>
          </wp:positionH>
          <wp:positionV relativeFrom="paragraph">
            <wp:posOffset>-220980</wp:posOffset>
          </wp:positionV>
          <wp:extent cx="6793230" cy="5327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la stationery footer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23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78305" w14:textId="0E953856" w:rsidR="0098181B" w:rsidRPr="0098181B" w:rsidRDefault="0098181B" w:rsidP="0098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8F49" w14:textId="77777777" w:rsidR="001E7CC2" w:rsidRDefault="001E7CC2" w:rsidP="0057093A">
      <w:r>
        <w:separator/>
      </w:r>
    </w:p>
  </w:footnote>
  <w:footnote w:type="continuationSeparator" w:id="0">
    <w:p w14:paraId="63C8C6DE" w14:textId="77777777" w:rsidR="001E7CC2" w:rsidRDefault="001E7CC2" w:rsidP="0057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6D12" w14:textId="37164FCE" w:rsidR="0057093A" w:rsidRDefault="00592565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C0695BA" wp14:editId="51BB5D91">
          <wp:simplePos x="0" y="0"/>
          <wp:positionH relativeFrom="column">
            <wp:posOffset>-749935</wp:posOffset>
          </wp:positionH>
          <wp:positionV relativeFrom="paragraph">
            <wp:posOffset>-428625</wp:posOffset>
          </wp:positionV>
          <wp:extent cx="7379970" cy="1129030"/>
          <wp:effectExtent l="0" t="0" r="0" b="0"/>
          <wp:wrapSquare wrapText="bothSides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la stationery header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554E9" w14:textId="77777777" w:rsidR="0057093A" w:rsidRDefault="0057093A">
    <w:pPr>
      <w:pStyle w:val="Header"/>
    </w:pPr>
  </w:p>
  <w:p w14:paraId="729B73D8" w14:textId="2E1EBC25" w:rsidR="0057093A" w:rsidRDefault="00570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3380" w14:textId="32D08824" w:rsidR="0057093A" w:rsidRDefault="00592565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AB56AE6" wp14:editId="6E9FBEB5">
          <wp:simplePos x="0" y="0"/>
          <wp:positionH relativeFrom="column">
            <wp:posOffset>-762000</wp:posOffset>
          </wp:positionH>
          <wp:positionV relativeFrom="paragraph">
            <wp:posOffset>-428625</wp:posOffset>
          </wp:positionV>
          <wp:extent cx="7379970" cy="1129030"/>
          <wp:effectExtent l="0" t="0" r="0" b="0"/>
          <wp:wrapSquare wrapText="bothSides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la stationery header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A"/>
    <w:rsid w:val="00032415"/>
    <w:rsid w:val="00041701"/>
    <w:rsid w:val="000521C5"/>
    <w:rsid w:val="00113689"/>
    <w:rsid w:val="00115F86"/>
    <w:rsid w:val="0011754A"/>
    <w:rsid w:val="00127133"/>
    <w:rsid w:val="00141389"/>
    <w:rsid w:val="001E7CC2"/>
    <w:rsid w:val="00301D04"/>
    <w:rsid w:val="003165B4"/>
    <w:rsid w:val="00330E2D"/>
    <w:rsid w:val="00331379"/>
    <w:rsid w:val="00331D58"/>
    <w:rsid w:val="003421D4"/>
    <w:rsid w:val="003553E5"/>
    <w:rsid w:val="00364E9B"/>
    <w:rsid w:val="003916E5"/>
    <w:rsid w:val="003A6A3E"/>
    <w:rsid w:val="003C26D3"/>
    <w:rsid w:val="004025E0"/>
    <w:rsid w:val="004163CF"/>
    <w:rsid w:val="00440782"/>
    <w:rsid w:val="004D3A3F"/>
    <w:rsid w:val="004F1667"/>
    <w:rsid w:val="00510DC0"/>
    <w:rsid w:val="00547C47"/>
    <w:rsid w:val="00555B4E"/>
    <w:rsid w:val="0057093A"/>
    <w:rsid w:val="00580793"/>
    <w:rsid w:val="00581FE7"/>
    <w:rsid w:val="00592565"/>
    <w:rsid w:val="00595AD5"/>
    <w:rsid w:val="005A2E1A"/>
    <w:rsid w:val="005D3EEB"/>
    <w:rsid w:val="00601464"/>
    <w:rsid w:val="00654C77"/>
    <w:rsid w:val="00656A38"/>
    <w:rsid w:val="00781CF5"/>
    <w:rsid w:val="007823EB"/>
    <w:rsid w:val="00785C72"/>
    <w:rsid w:val="00807FB1"/>
    <w:rsid w:val="008454AB"/>
    <w:rsid w:val="008F0B87"/>
    <w:rsid w:val="00943CBA"/>
    <w:rsid w:val="0095145F"/>
    <w:rsid w:val="0098181B"/>
    <w:rsid w:val="00A21307"/>
    <w:rsid w:val="00A74C6C"/>
    <w:rsid w:val="00A76EE5"/>
    <w:rsid w:val="00AB7379"/>
    <w:rsid w:val="00AE1BBE"/>
    <w:rsid w:val="00B56AE4"/>
    <w:rsid w:val="00B6083D"/>
    <w:rsid w:val="00B802CB"/>
    <w:rsid w:val="00B92BF7"/>
    <w:rsid w:val="00C00013"/>
    <w:rsid w:val="00C36E4F"/>
    <w:rsid w:val="00C47C9D"/>
    <w:rsid w:val="00CA23EC"/>
    <w:rsid w:val="00CD4A35"/>
    <w:rsid w:val="00CE0337"/>
    <w:rsid w:val="00CE7FF1"/>
    <w:rsid w:val="00D021B7"/>
    <w:rsid w:val="00D25C25"/>
    <w:rsid w:val="00DA6F19"/>
    <w:rsid w:val="00DF3CC1"/>
    <w:rsid w:val="00DF7860"/>
    <w:rsid w:val="00E24420"/>
    <w:rsid w:val="00E37D3E"/>
    <w:rsid w:val="00E85F30"/>
    <w:rsid w:val="00E91F36"/>
    <w:rsid w:val="00EE7F63"/>
    <w:rsid w:val="00EF437C"/>
    <w:rsid w:val="00F4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7CD38"/>
  <w15:chartTrackingRefBased/>
  <w15:docId w15:val="{64330AF2-6409-4194-98E6-6BA5779F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093A"/>
  </w:style>
  <w:style w:type="paragraph" w:styleId="Footer">
    <w:name w:val="footer"/>
    <w:basedOn w:val="Normal"/>
    <w:link w:val="FooterChar"/>
    <w:uiPriority w:val="99"/>
    <w:unhideWhenUsed/>
    <w:rsid w:val="00570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093A"/>
  </w:style>
  <w:style w:type="character" w:styleId="Hyperlink">
    <w:name w:val="Hyperlink"/>
    <w:basedOn w:val="DefaultParagraphFont"/>
    <w:uiPriority w:val="99"/>
    <w:unhideWhenUsed/>
    <w:rsid w:val="00141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medicine-vet-medicine/news-events/all-news/news-2012/exercise-23101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zheimers.net/05-10-2017-superagers-immune-alzheimers" TargetMode="External"/><Relationship Id="rId12" Type="http://schemas.openxmlformats.org/officeDocument/2006/relationships/hyperlink" Target="https://www.health.harvard.edu/blog/3-ways-to-build-brain-boosting-social-connections-20210908258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ain.northwestern.edu/join/SuperAging.html" TargetMode="External"/><Relationship Id="rId11" Type="http://schemas.openxmlformats.org/officeDocument/2006/relationships/hyperlink" Target="https://ce.ccsu.edu/what-happens-to-your-brain-when-you-learn-a-new-skill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healthline.com/health/alzheimers-disease-risk-factors#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a.nih.gov/health/infographics/mental-health-benefits-exercise-and-physical-activit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Tayler</dc:creator>
  <cp:keywords/>
  <dc:description/>
  <cp:lastModifiedBy>Amy Koenig</cp:lastModifiedBy>
  <cp:revision>15</cp:revision>
  <cp:lastPrinted>2018-12-21T15:57:00Z</cp:lastPrinted>
  <dcterms:created xsi:type="dcterms:W3CDTF">2020-04-06T19:21:00Z</dcterms:created>
  <dcterms:modified xsi:type="dcterms:W3CDTF">2025-04-04T16:17:00Z</dcterms:modified>
</cp:coreProperties>
</file>